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40" w:line="360" w:lineRule="auto"/>
        <w:jc w:val="center"/>
        <w:rPr>
          <w:rFonts w:ascii="微软雅黑" w:hAnsi="微软雅黑" w:eastAsia="微软雅黑" w:cs="Arial"/>
          <w:b/>
          <w:sz w:val="40"/>
        </w:rPr>
      </w:pPr>
      <w:r>
        <w:rPr>
          <w:rFonts w:ascii="微软雅黑" w:hAnsi="微软雅黑" w:eastAsia="微软雅黑" w:cs="Arial"/>
          <w:b/>
          <w:sz w:val="40"/>
        </w:rPr>
        <w:t>科学文库产品介绍</w:t>
      </w:r>
    </w:p>
    <w:p>
      <w:pPr>
        <w:spacing w:after="240" w:line="360" w:lineRule="auto"/>
        <w:jc w:val="center"/>
        <w:rPr>
          <w:rFonts w:ascii="微软雅黑" w:hAnsi="微软雅黑" w:eastAsia="微软雅黑" w:cs="Arial"/>
          <w:b/>
          <w:sz w:val="32"/>
        </w:rPr>
      </w:pPr>
      <w:r>
        <w:rPr>
          <w:rFonts w:ascii="微软雅黑" w:hAnsi="微软雅黑" w:eastAsia="微软雅黑" w:cs="Arial"/>
          <w:b/>
          <w:sz w:val="32"/>
        </w:rPr>
        <w:drawing>
          <wp:inline distT="0" distB="0" distL="0" distR="0">
            <wp:extent cx="1541145" cy="438150"/>
            <wp:effectExtent l="19050" t="0" r="1644" b="0"/>
            <wp:docPr id="27" name="图片 27" descr="F:\新部门\科学文库\科学文库营销方案\内容营销\微信公众号\科学文库\素材\科学文库用户荐书（第1期）∣ 本期推荐15本，涉及数学、地球科学、物理学、电子与通信技术、遥感科学与技术、生物学、农学-191107\科学文库logo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:\新部门\科学文库\科学文库营销方案\内容营销\微信公众号\科学文库\素材\科学文库用户荐书（第1期）∣ 本期推荐15本，涉及数学、地球科学、物理学、电子与通信技术、遥感科学与技术、生物学、农学-191107\科学文库logo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79" t="35597" r="5911" b="35802"/>
                    <a:stretch>
                      <a:fillRect/>
                    </a:stretch>
                  </pic:blipFill>
                  <pic:spPr>
                    <a:xfrm>
                      <a:off x="0" y="0"/>
                      <a:ext cx="1541406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560" w:firstLineChars="200"/>
        <w:jc w:val="left"/>
        <w:rPr>
          <w:rFonts w:ascii="微软雅黑" w:hAnsi="微软雅黑" w:eastAsia="微软雅黑" w:cs="Arial"/>
          <w:b/>
          <w:kern w:val="0"/>
          <w:sz w:val="28"/>
          <w:szCs w:val="24"/>
        </w:rPr>
      </w:pPr>
      <w:r>
        <w:rPr>
          <w:rFonts w:hint="eastAsia" w:ascii="微软雅黑" w:hAnsi="微软雅黑" w:eastAsia="微软雅黑" w:cs="Arial"/>
          <w:b/>
          <w:kern w:val="0"/>
          <w:sz w:val="28"/>
          <w:szCs w:val="24"/>
        </w:rPr>
        <w:t>一、访问地址</w:t>
      </w:r>
    </w:p>
    <w:p>
      <w:pPr>
        <w:widowControl/>
        <w:spacing w:line="360" w:lineRule="auto"/>
        <w:ind w:firstLine="480" w:firstLineChars="200"/>
        <w:jc w:val="left"/>
        <w:rPr>
          <w:rFonts w:ascii="Arial" w:hAnsi="Arial" w:eastAsia="宋体" w:cs="Arial"/>
          <w:kern w:val="0"/>
          <w:sz w:val="24"/>
          <w:szCs w:val="24"/>
        </w:rPr>
      </w:pPr>
      <w:r>
        <w:rPr>
          <w:rFonts w:ascii="Arial" w:hAnsi="Arial" w:eastAsia="宋体" w:cs="Arial"/>
          <w:kern w:val="0"/>
          <w:sz w:val="24"/>
          <w:szCs w:val="24"/>
        </w:rPr>
        <w:fldChar w:fldCharType="begin"/>
      </w:r>
      <w:r>
        <w:rPr>
          <w:rFonts w:ascii="Arial" w:hAnsi="Arial" w:eastAsia="宋体" w:cs="Arial"/>
          <w:kern w:val="0"/>
          <w:sz w:val="24"/>
          <w:szCs w:val="24"/>
        </w:rPr>
        <w:instrText xml:space="preserve"> HYPERLINK "https://book.sciencereading.cn" </w:instrText>
      </w:r>
      <w:r>
        <w:rPr>
          <w:rFonts w:ascii="Arial" w:hAnsi="Arial" w:eastAsia="宋体" w:cs="Arial"/>
          <w:kern w:val="0"/>
          <w:sz w:val="24"/>
          <w:szCs w:val="24"/>
        </w:rPr>
        <w:fldChar w:fldCharType="separate"/>
      </w:r>
      <w:r>
        <w:rPr>
          <w:rStyle w:val="15"/>
          <w:rFonts w:ascii="Arial" w:hAnsi="Arial" w:eastAsia="宋体" w:cs="Arial"/>
          <w:kern w:val="0"/>
          <w:sz w:val="24"/>
          <w:szCs w:val="24"/>
        </w:rPr>
        <w:t>https://book.sciencereading.cn</w:t>
      </w:r>
      <w:r>
        <w:rPr>
          <w:rFonts w:ascii="Arial" w:hAnsi="Arial" w:eastAsia="宋体" w:cs="Arial"/>
          <w:kern w:val="0"/>
          <w:sz w:val="24"/>
          <w:szCs w:val="24"/>
        </w:rPr>
        <w:fldChar w:fldCharType="end"/>
      </w:r>
    </w:p>
    <w:p>
      <w:pPr>
        <w:widowControl/>
        <w:spacing w:before="240" w:line="360" w:lineRule="auto"/>
        <w:ind w:firstLine="560" w:firstLineChars="200"/>
        <w:jc w:val="left"/>
        <w:rPr>
          <w:rFonts w:ascii="微软雅黑" w:hAnsi="微软雅黑" w:eastAsia="微软雅黑" w:cs="Arial"/>
          <w:b/>
          <w:kern w:val="0"/>
          <w:sz w:val="28"/>
          <w:szCs w:val="24"/>
        </w:rPr>
      </w:pPr>
      <w:r>
        <w:rPr>
          <w:rFonts w:hint="eastAsia" w:ascii="微软雅黑" w:hAnsi="微软雅黑" w:eastAsia="微软雅黑" w:cs="Arial"/>
          <w:b/>
          <w:kern w:val="0"/>
          <w:sz w:val="28"/>
          <w:szCs w:val="24"/>
        </w:rPr>
        <w:t>二、产品介绍</w:t>
      </w:r>
    </w:p>
    <w:p>
      <w:pPr>
        <w:widowControl/>
        <w:spacing w:line="360" w:lineRule="auto"/>
        <w:ind w:firstLine="480" w:firstLineChars="200"/>
        <w:jc w:val="left"/>
        <w:rPr>
          <w:rFonts w:ascii="Arial" w:hAnsi="Arial" w:eastAsia="宋体" w:cs="Arial"/>
          <w:b/>
          <w:bCs/>
          <w:color w:val="000000" w:themeColor="text1"/>
          <w:kern w:val="0"/>
          <w:sz w:val="24"/>
          <w:szCs w:val="24"/>
        </w:rPr>
      </w:pPr>
      <w:r>
        <w:rPr>
          <w:rFonts w:hint="eastAsia" w:ascii="Arial" w:hAnsi="Arial" w:eastAsia="宋体" w:cs="Arial"/>
          <w:color w:val="000000" w:themeColor="text1"/>
          <w:kern w:val="0"/>
          <w:sz w:val="24"/>
          <w:szCs w:val="24"/>
        </w:rPr>
        <w:t>科学文库是以高质量学术专著和教材为主要内容、以全学科知识服务为特色的数据库平台，收录众多获奖作品、各学科领域经典图书、知名专家著作、系列重点丛书等高质量专业知识内容，是优秀科学家的群体智慧宝库，曾获中国出版界最高奖——“中国出版政府奖”。科学文库以服务于教育科研机构的专业人员为宗旨，提供专业优质的数字图书资源、高效便捷的知识服务，满足各个层次的专业人士和广大用户对权威、经典、实用科技知识的需求，有效支撑科学知识水平提高、相关学科建设和人才培养。</w:t>
      </w:r>
      <w:r>
        <w:rPr>
          <w:rFonts w:hint="eastAsia" w:ascii="Arial" w:hAnsi="Arial" w:eastAsia="宋体" w:cs="Arial"/>
          <w:b/>
          <w:bCs/>
          <w:color w:val="000000" w:themeColor="text1"/>
          <w:kern w:val="0"/>
          <w:sz w:val="24"/>
          <w:szCs w:val="24"/>
        </w:rPr>
        <w:t>所有内容均未授权第三方，保证资源独有性。</w:t>
      </w:r>
    </w:p>
    <w:p>
      <w:pPr>
        <w:widowControl/>
        <w:spacing w:line="360" w:lineRule="auto"/>
        <w:jc w:val="center"/>
        <w:rPr>
          <w:rFonts w:ascii="Arial" w:hAnsi="Arial" w:eastAsia="宋体" w:cs="Arial"/>
          <w:kern w:val="0"/>
          <w:sz w:val="24"/>
          <w:szCs w:val="24"/>
        </w:rPr>
      </w:pPr>
      <w:r>
        <w:rPr>
          <w:rFonts w:ascii="Arial" w:hAnsi="Arial" w:eastAsia="宋体" w:cs="Arial"/>
          <w:kern w:val="0"/>
          <w:sz w:val="24"/>
          <w:szCs w:val="24"/>
        </w:rPr>
        <w:drawing>
          <wp:inline distT="0" distB="0" distL="0" distR="0">
            <wp:extent cx="5274310" cy="3025775"/>
            <wp:effectExtent l="171450" t="133350" r="364490" b="307610"/>
            <wp:docPr id="4" name="图片 3" descr="C:\Users\Tang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Tang\Desktop\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pacing w:before="240" w:line="360" w:lineRule="auto"/>
        <w:ind w:firstLine="560" w:firstLineChars="200"/>
        <w:jc w:val="left"/>
        <w:rPr>
          <w:rFonts w:ascii="微软雅黑" w:hAnsi="微软雅黑" w:eastAsia="微软雅黑" w:cs="Arial"/>
          <w:b/>
          <w:kern w:val="0"/>
          <w:sz w:val="28"/>
          <w:szCs w:val="24"/>
        </w:rPr>
      </w:pPr>
      <w:r>
        <w:rPr>
          <w:rFonts w:hint="eastAsia" w:ascii="微软雅黑" w:hAnsi="微软雅黑" w:eastAsia="微软雅黑" w:cs="Arial"/>
          <w:b/>
          <w:kern w:val="0"/>
          <w:sz w:val="28"/>
          <w:szCs w:val="24"/>
        </w:rPr>
        <w:t>三、内容特色</w:t>
      </w:r>
    </w:p>
    <w:p>
      <w:pPr>
        <w:pStyle w:val="18"/>
        <w:widowControl/>
        <w:numPr>
          <w:ilvl w:val="0"/>
          <w:numId w:val="1"/>
        </w:numPr>
        <w:spacing w:line="360" w:lineRule="auto"/>
        <w:ind w:left="426" w:firstLineChars="0"/>
        <w:jc w:val="left"/>
        <w:rPr>
          <w:rFonts w:ascii="微软雅黑" w:hAnsi="微软雅黑" w:eastAsia="微软雅黑" w:cs="Arial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质量高</w:t>
      </w:r>
      <w:r>
        <w:rPr>
          <w:rFonts w:hint="eastAsia" w:ascii="微软雅黑" w:hAnsi="微软雅黑" w:eastAsia="微软雅黑" w:cs="Arial"/>
          <w:b/>
          <w:kern w:val="0"/>
          <w:sz w:val="24"/>
          <w:szCs w:val="24"/>
        </w:rPr>
        <w:t>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几乎囊括科学出版社60余年来所有获奖作品、知名专家著作、重点丛书、各学科必备经典专著和教材等。</w:t>
      </w:r>
    </w:p>
    <w:p>
      <w:pPr>
        <w:widowControl/>
        <w:shd w:val="clear" w:color="auto" w:fill="FFFFFF"/>
        <w:spacing w:line="360" w:lineRule="auto"/>
        <w:jc w:val="center"/>
        <w:rPr>
          <w:rFonts w:ascii="宋体" w:hAnsi="宋体" w:eastAsia="宋体" w:cs="宋体"/>
          <w:b/>
          <w:color w:val="555555"/>
          <w:kern w:val="0"/>
          <w:szCs w:val="24"/>
        </w:rPr>
      </w:pPr>
      <w:r>
        <w:rPr>
          <w:rFonts w:ascii="宋体" w:hAnsi="宋体" w:eastAsia="宋体" w:cs="宋体"/>
          <w:b/>
          <w:bCs/>
          <w:color w:val="222222"/>
          <w:kern w:val="0"/>
          <w:sz w:val="24"/>
          <w:szCs w:val="24"/>
        </w:rPr>
        <w:drawing>
          <wp:inline distT="0" distB="0" distL="0" distR="0">
            <wp:extent cx="3009900" cy="1906270"/>
            <wp:effectExtent l="171450" t="133350" r="361950" b="303182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06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jc w:val="center"/>
        <w:rPr>
          <w:rFonts w:ascii="宋体" w:hAnsi="宋体" w:eastAsia="宋体" w:cs="宋体"/>
          <w:b/>
          <w:color w:val="555555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555555"/>
          <w:kern w:val="0"/>
          <w:szCs w:val="24"/>
        </w:rPr>
        <w:t>一大半的国家最高科技奖得主、院士都是科学出版社的作者</w:t>
      </w:r>
      <w:r>
        <w:rPr>
          <w:rFonts w:hint="eastAsia" w:ascii="宋体" w:hAnsi="宋体" w:eastAsia="宋体" w:cs="宋体"/>
          <w:b/>
          <w:color w:val="555555"/>
          <w:kern w:val="0"/>
          <w:sz w:val="24"/>
          <w:szCs w:val="24"/>
        </w:rPr>
        <w:t xml:space="preserve"> </w:t>
      </w:r>
    </w:p>
    <w:p>
      <w:pPr>
        <w:pStyle w:val="18"/>
        <w:widowControl/>
        <w:spacing w:line="360" w:lineRule="auto"/>
        <w:ind w:firstLine="0" w:firstLineChars="0"/>
        <w:jc w:val="center"/>
        <w:rPr>
          <w:rFonts w:ascii="微软雅黑" w:hAnsi="微软雅黑" w:eastAsia="微软雅黑" w:cs="Arial"/>
          <w:b/>
          <w:kern w:val="0"/>
          <w:sz w:val="24"/>
          <w:szCs w:val="24"/>
        </w:rPr>
      </w:pPr>
    </w:p>
    <w:p>
      <w:pPr>
        <w:pStyle w:val="18"/>
        <w:widowControl/>
        <w:numPr>
          <w:ilvl w:val="0"/>
          <w:numId w:val="1"/>
        </w:numPr>
        <w:spacing w:line="360" w:lineRule="auto"/>
        <w:ind w:left="426" w:firstLineChars="0"/>
        <w:jc w:val="left"/>
        <w:rPr>
          <w:rFonts w:ascii="微软雅黑" w:hAnsi="微软雅黑" w:eastAsia="微软雅黑" w:cs="Arial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容量大：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截至当前总品种数为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  <w:lang w:val="en-US" w:eastAsia="zh-CN"/>
        </w:rPr>
        <w:t>6.4</w:t>
      </w:r>
      <w:bookmarkStart w:id="0" w:name="_GoBack"/>
      <w:bookmarkEnd w:id="0"/>
      <w:r>
        <w:rPr>
          <w:rFonts w:hint="eastAsia" w:ascii="宋体" w:hAnsi="宋体" w:eastAsia="宋体" w:cs="宋体"/>
          <w:color w:val="555555"/>
          <w:kern w:val="0"/>
          <w:sz w:val="24"/>
          <w:szCs w:val="24"/>
          <w:lang w:val="en-US" w:eastAsia="zh-CN"/>
        </w:rPr>
        <w:t>万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余种，每年更新约3000种。</w:t>
      </w:r>
    </w:p>
    <w:p>
      <w:pPr>
        <w:widowControl/>
        <w:spacing w:line="360" w:lineRule="auto"/>
        <w:ind w:left="6"/>
        <w:jc w:val="center"/>
        <w:rPr>
          <w:rFonts w:ascii="微软雅黑" w:hAnsi="微软雅黑" w:eastAsia="微软雅黑" w:cs="Arial"/>
          <w:b/>
          <w:kern w:val="0"/>
          <w:sz w:val="24"/>
          <w:szCs w:val="24"/>
        </w:rPr>
      </w:pPr>
      <w:r>
        <w:rPr>
          <w:rFonts w:ascii="微软雅黑" w:hAnsi="微软雅黑" w:eastAsia="微软雅黑" w:cs="Arial"/>
          <w:b/>
          <w:kern w:val="0"/>
          <w:sz w:val="24"/>
          <w:szCs w:val="24"/>
        </w:rPr>
        <w:drawing>
          <wp:inline distT="0" distB="0" distL="0" distR="0">
            <wp:extent cx="4465320" cy="2043430"/>
            <wp:effectExtent l="171450" t="133350" r="354165" b="299150"/>
            <wp:docPr id="1" name="图片 1" descr="C:\Users\Tang\Desktop\QQ图片20220222152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Tang\Desktop\QQ图片2022022215265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5765" cy="2044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8"/>
        <w:widowControl/>
        <w:numPr>
          <w:ilvl w:val="0"/>
          <w:numId w:val="1"/>
        </w:numPr>
        <w:spacing w:line="360" w:lineRule="auto"/>
        <w:ind w:left="426" w:firstLineChars="0"/>
        <w:jc w:val="left"/>
        <w:rPr>
          <w:rFonts w:ascii="微软雅黑" w:hAnsi="微软雅黑" w:eastAsia="微软雅黑" w:cs="Arial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学科全</w:t>
      </w:r>
      <w:r>
        <w:rPr>
          <w:rFonts w:hint="eastAsia" w:ascii="宋体" w:hAnsi="宋体" w:eastAsia="宋体" w:cs="宋体"/>
          <w:b/>
          <w:color w:val="555555"/>
          <w:kern w:val="0"/>
          <w:sz w:val="24"/>
          <w:szCs w:val="24"/>
        </w:rPr>
        <w:t>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15个学科辑覆盖自然科学、工程与技术科学、人文与社会科学、医药科学、农业科学五大门类的所有一级学科，按中图法和学科领域进行双重分类。</w:t>
      </w:r>
    </w:p>
    <w:p>
      <w:pPr>
        <w:pStyle w:val="18"/>
        <w:widowControl/>
        <w:spacing w:line="360" w:lineRule="auto"/>
        <w:ind w:left="426" w:firstLine="0" w:firstLineChars="0"/>
        <w:jc w:val="left"/>
        <w:rPr>
          <w:rFonts w:ascii="微软雅黑" w:hAnsi="微软雅黑" w:eastAsia="微软雅黑" w:cs="Arial"/>
          <w:b/>
          <w:kern w:val="0"/>
          <w:sz w:val="24"/>
          <w:szCs w:val="24"/>
        </w:rPr>
      </w:pPr>
    </w:p>
    <w:p>
      <w:pPr>
        <w:widowControl/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tbl>
      <w:tblPr>
        <w:tblStyle w:val="9"/>
        <w:tblW w:w="0" w:type="auto"/>
        <w:jc w:val="center"/>
        <w:tbl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6" w:space="0"/>
          <w:insideV w:val="single" w:color="FFFFFF" w:themeColor="background1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"/>
        <w:gridCol w:w="1427"/>
        <w:gridCol w:w="4906"/>
        <w:gridCol w:w="1254"/>
      </w:tblGrid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  <w:insideH w:val="single" w:sz="24" w:space="0"/>
              <w:insideV w:val="single" w:sz="8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  <w:bCs/>
                <w:i w:val="0"/>
                <w:iCs w:val="0"/>
                <w:color w:val="FFFFFF" w:themeColor="background1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i w:val="0"/>
                <w:iCs w:val="0"/>
                <w:color w:val="FFFFFF" w:themeColor="background1"/>
                <w:sz w:val="24"/>
              </w:rPr>
              <w:t>序号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  <w:insideH w:val="single" w:sz="24" w:space="0"/>
              <w:insideV w:val="single" w:sz="8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i w:val="0"/>
                <w:iCs w:val="0"/>
                <w:color w:val="FFFFFF" w:themeColor="background1"/>
                <w:sz w:val="24"/>
              </w:rPr>
              <w:t>学科专辑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  <w:insideH w:val="single" w:sz="24" w:space="0"/>
              <w:insideV w:val="single" w:sz="8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  <w:t>所含标准一级学科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  <w:insideH w:val="single" w:sz="24" w:space="0"/>
              <w:insideV w:val="single" w:sz="8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  <w:t>品种数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Cs w:val="24"/>
              </w:rPr>
              <w:t>1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ascii="微软雅黑" w:hAnsi="微软雅黑" w:eastAsia="微软雅黑"/>
                <w:b/>
              </w:rPr>
              <w:t>数理科学辑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ascii="微软雅黑" w:hAnsi="微软雅黑" w:eastAsia="微软雅黑"/>
                <w:b/>
              </w:rPr>
              <w:t>数学、 物理、力学、天文学、统计学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7400+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  <w:t>2</w:t>
            </w:r>
          </w:p>
        </w:tc>
        <w:tc>
          <w:tcPr>
            <w:tcW w:w="1514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化学材料辑</w:t>
            </w:r>
          </w:p>
        </w:tc>
        <w:tc>
          <w:tcPr>
            <w:tcW w:w="5264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化学、 材料科学、化学工程</w:t>
            </w:r>
          </w:p>
        </w:tc>
        <w:tc>
          <w:tcPr>
            <w:tcW w:w="1275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3300+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  <w:t>3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生命科学辑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生物学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3900+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  <w:t>4</w:t>
            </w:r>
          </w:p>
        </w:tc>
        <w:tc>
          <w:tcPr>
            <w:tcW w:w="1514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地球科学辑</w:t>
            </w:r>
          </w:p>
        </w:tc>
        <w:tc>
          <w:tcPr>
            <w:tcW w:w="5264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地球科学</w:t>
            </w:r>
          </w:p>
        </w:tc>
        <w:tc>
          <w:tcPr>
            <w:tcW w:w="1275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4000+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  <w:t>5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资源环境辑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环境科学技术及资源科学技术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1900+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  <w:t>6</w:t>
            </w:r>
          </w:p>
        </w:tc>
        <w:tc>
          <w:tcPr>
            <w:tcW w:w="1514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农林科技辑</w:t>
            </w:r>
          </w:p>
        </w:tc>
        <w:tc>
          <w:tcPr>
            <w:tcW w:w="5264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农学、 林学、畜牧/曾医科学、水产学</w:t>
            </w:r>
          </w:p>
        </w:tc>
        <w:tc>
          <w:tcPr>
            <w:tcW w:w="1275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2500+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  <w:t>7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医药科学辑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基础医学、临床医学、药学、中医学与中药学、预防医学与公共卫生学、军事医学与特种医学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9000+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  <w:t>8</w:t>
            </w:r>
          </w:p>
        </w:tc>
        <w:tc>
          <w:tcPr>
            <w:tcW w:w="1514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信息科技辑</w:t>
            </w:r>
          </w:p>
        </w:tc>
        <w:tc>
          <w:tcPr>
            <w:tcW w:w="5264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计算机科学、电子与通信技术、信息科学与系统科学、信息与系统科学相关工程与技术</w:t>
            </w:r>
          </w:p>
        </w:tc>
        <w:tc>
          <w:tcPr>
            <w:tcW w:w="1275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8500+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  <w:t>9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工程科技辑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16个工程类一级学科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10000+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  <w:t>10</w:t>
            </w:r>
          </w:p>
        </w:tc>
        <w:tc>
          <w:tcPr>
            <w:tcW w:w="1514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管理科学辑</w:t>
            </w:r>
          </w:p>
        </w:tc>
        <w:tc>
          <w:tcPr>
            <w:tcW w:w="5264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管理学、安全科学技术</w:t>
            </w:r>
          </w:p>
        </w:tc>
        <w:tc>
          <w:tcPr>
            <w:tcW w:w="1275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2600+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  <w:t>11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历史考古辑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历史学、 考古学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2500+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  <w:t>12</w:t>
            </w:r>
          </w:p>
        </w:tc>
        <w:tc>
          <w:tcPr>
            <w:tcW w:w="1514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经济科学辑</w:t>
            </w:r>
          </w:p>
        </w:tc>
        <w:tc>
          <w:tcPr>
            <w:tcW w:w="5264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经济学</w:t>
            </w:r>
          </w:p>
        </w:tc>
        <w:tc>
          <w:tcPr>
            <w:tcW w:w="1275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4500+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  <w:t>13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教育传播辑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教育学、心理学、体育科学、语言学、新闻学与传播学、图书馆/情报与文献学、文学、艺术学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4800+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  <w:t>14</w:t>
            </w:r>
          </w:p>
        </w:tc>
        <w:tc>
          <w:tcPr>
            <w:tcW w:w="1514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法哲社会辑</w:t>
            </w:r>
          </w:p>
        </w:tc>
        <w:tc>
          <w:tcPr>
            <w:tcW w:w="5264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法学、哲学、社会学、宗教学、民族学与文化学、马克思主义、政治、军事学</w:t>
            </w:r>
          </w:p>
        </w:tc>
        <w:tc>
          <w:tcPr>
            <w:tcW w:w="1275" w:type="dxa"/>
            <w:shd w:val="clear" w:color="auto" w:fill="D3DFEE" w:themeFill="accent1" w:themeFillTint="3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2000+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24" w:space="0"/>
              <w:insideH w:val="single" w:sz="8" w:space="0"/>
              <w:insideV w:val="single" w:sz="24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</w:rPr>
              <w:t>15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公共阅读辑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内容涉及多个学科领域及大众科普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7C0DE" w:themeFill="accent1" w:themeFillTint="7F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1100+</w:t>
            </w:r>
          </w:p>
        </w:tc>
      </w:tr>
    </w:tbl>
    <w:p>
      <w:pPr>
        <w:widowControl/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18"/>
        <w:widowControl/>
        <w:numPr>
          <w:ilvl w:val="0"/>
          <w:numId w:val="1"/>
        </w:numPr>
        <w:spacing w:line="360" w:lineRule="auto"/>
        <w:ind w:left="426" w:firstLineChars="0"/>
        <w:jc w:val="left"/>
        <w:rPr>
          <w:rFonts w:ascii="微软雅黑" w:hAnsi="微软雅黑" w:eastAsia="微软雅黑" w:cs="Arial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种类多：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包括专著、教材、图集、报告、工具书、科普等，满足科研、教学、管理、大众等各个系列用户的需求。</w:t>
      </w:r>
    </w:p>
    <w:p>
      <w:pPr>
        <w:pStyle w:val="18"/>
        <w:widowControl/>
        <w:spacing w:line="360" w:lineRule="auto"/>
        <w:ind w:left="426" w:firstLine="0" w:firstLineChars="0"/>
        <w:jc w:val="left"/>
        <w:rPr>
          <w:rFonts w:ascii="微软雅黑" w:hAnsi="微软雅黑" w:eastAsia="微软雅黑" w:cs="Arial"/>
          <w:b/>
          <w:kern w:val="0"/>
          <w:sz w:val="24"/>
          <w:szCs w:val="24"/>
        </w:rPr>
      </w:pPr>
      <w:r>
        <w:rPr>
          <w:rFonts w:ascii="微软雅黑" w:hAnsi="微软雅黑" w:eastAsia="微软雅黑" w:cs="Arial"/>
          <w:b/>
          <w:kern w:val="0"/>
          <w:sz w:val="24"/>
          <w:szCs w:val="24"/>
        </w:rPr>
        <w:drawing>
          <wp:inline distT="0" distB="0" distL="0" distR="0">
            <wp:extent cx="4572000" cy="2743200"/>
            <wp:effectExtent l="0" t="0" r="0" b="0"/>
            <wp:docPr id="5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777105" cy="2962910"/>
            <wp:effectExtent l="171450" t="133350" r="366395" b="313690"/>
            <wp:docPr id="6" name="图片 1" descr="C:\Users\Tang\AppData\Roaming\Tencent\Users\241979767\QQ\WinTemp\RichOle\)L)$V%3WG]HL@E5[H1B3F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Tang\AppData\Roaming\Tencent\Users\241979767\QQ\WinTemp\RichOle\)L)$V%3WG]HL@E5[H1B3FD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296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8"/>
        <w:widowControl/>
        <w:spacing w:line="360" w:lineRule="auto"/>
        <w:ind w:left="426" w:firstLine="0" w:firstLineChars="0"/>
        <w:jc w:val="left"/>
        <w:rPr>
          <w:rFonts w:ascii="微软雅黑" w:hAnsi="微软雅黑" w:eastAsia="微软雅黑" w:cs="Arial"/>
          <w:b/>
          <w:kern w:val="0"/>
          <w:sz w:val="24"/>
          <w:szCs w:val="24"/>
        </w:rPr>
      </w:pPr>
    </w:p>
    <w:p>
      <w:pPr>
        <w:pStyle w:val="18"/>
        <w:widowControl/>
        <w:numPr>
          <w:ilvl w:val="0"/>
          <w:numId w:val="1"/>
        </w:numPr>
        <w:spacing w:line="360" w:lineRule="auto"/>
        <w:ind w:left="426" w:firstLineChars="0"/>
        <w:jc w:val="left"/>
        <w:rPr>
          <w:rFonts w:ascii="微软雅黑" w:hAnsi="微软雅黑" w:eastAsia="微软雅黑" w:cs="Arial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文件优质：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原版高清PDF格式，准确无误地保留专业文字、图形、符号、公式等。</w:t>
      </w:r>
    </w:p>
    <w:p>
      <w:pPr>
        <w:pStyle w:val="18"/>
        <w:widowControl/>
        <w:spacing w:line="360" w:lineRule="auto"/>
        <w:ind w:firstLine="0" w:firstLineChars="0"/>
        <w:jc w:val="center"/>
        <w:rPr>
          <w:rFonts w:ascii="微软雅黑" w:hAnsi="微软雅黑" w:eastAsia="微软雅黑" w:cs="Arial"/>
          <w:b/>
          <w:kern w:val="0"/>
          <w:sz w:val="24"/>
          <w:szCs w:val="24"/>
        </w:rPr>
      </w:pPr>
      <w:r>
        <w:rPr>
          <w:rFonts w:ascii="微软雅黑" w:hAnsi="微软雅黑" w:eastAsia="微软雅黑" w:cs="Arial"/>
          <w:b/>
          <w:kern w:val="0"/>
          <w:sz w:val="24"/>
          <w:szCs w:val="24"/>
        </w:rPr>
        <w:drawing>
          <wp:inline distT="0" distB="0" distL="0" distR="0">
            <wp:extent cx="4685665" cy="4253230"/>
            <wp:effectExtent l="171450" t="133350" r="362351" b="299318"/>
            <wp:docPr id="7" name="图片 2" descr="C:\Users\Tang\Desktop\QQ图片20220223171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Tang\Desktop\QQ图片2022022317123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7660" cy="4255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pacing w:before="240" w:line="360" w:lineRule="auto"/>
        <w:ind w:firstLine="560" w:firstLineChars="200"/>
        <w:jc w:val="left"/>
        <w:rPr>
          <w:rFonts w:ascii="微软雅黑" w:hAnsi="微软雅黑" w:eastAsia="微软雅黑" w:cs="Arial"/>
          <w:b/>
          <w:kern w:val="0"/>
          <w:sz w:val="28"/>
          <w:szCs w:val="24"/>
        </w:rPr>
      </w:pPr>
      <w:r>
        <w:rPr>
          <w:rFonts w:hint="eastAsia" w:ascii="微软雅黑" w:hAnsi="微软雅黑" w:eastAsia="微软雅黑" w:cs="Arial"/>
          <w:b/>
          <w:kern w:val="0"/>
          <w:sz w:val="28"/>
          <w:szCs w:val="24"/>
        </w:rPr>
        <w:t>四、功能特点</w:t>
      </w:r>
    </w:p>
    <w:p>
      <w:pPr>
        <w:pStyle w:val="18"/>
        <w:widowControl/>
        <w:numPr>
          <w:ilvl w:val="0"/>
          <w:numId w:val="1"/>
        </w:numPr>
        <w:shd w:val="clear" w:color="auto" w:fill="FFFFFF"/>
        <w:spacing w:line="360" w:lineRule="auto"/>
        <w:ind w:left="426" w:firstLineChars="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检索强大：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支持书名摘要检索、全文检索、高级检索，并辅有二次筛选，快速发现所需资源。</w:t>
      </w:r>
    </w:p>
    <w:p>
      <w:pPr>
        <w:widowControl/>
        <w:shd w:val="clear" w:color="auto" w:fill="FFFFFF"/>
        <w:spacing w:line="360" w:lineRule="auto"/>
        <w:ind w:left="6"/>
        <w:jc w:val="center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kern w:val="0"/>
        </w:rPr>
        <w:drawing>
          <wp:inline distT="0" distB="0" distL="0" distR="0">
            <wp:extent cx="4352925" cy="3450590"/>
            <wp:effectExtent l="171450" t="133350" r="371475" b="302133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450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40" w:lineRule="exact"/>
        <w:jc w:val="both"/>
        <w:rPr>
          <w:rFonts w:ascii="Microsoft YaHei UI" w:hAnsi="Microsoft YaHei UI" w:eastAsia="Microsoft YaHei UI"/>
          <w:color w:val="222222"/>
          <w:spacing w:val="15"/>
          <w:sz w:val="21"/>
          <w:szCs w:val="21"/>
        </w:rPr>
      </w:pPr>
      <w:r>
        <w:rPr>
          <w:rStyle w:val="14"/>
          <w:rFonts w:hint="eastAsia" w:ascii="Microsoft YaHei UI" w:hAnsi="Microsoft YaHei UI" w:eastAsia="Microsoft YaHei UI"/>
          <w:color w:val="888888"/>
          <w:sz w:val="21"/>
          <w:szCs w:val="21"/>
        </w:rPr>
        <w:t>高性能检索满足专业资源查询需求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440" w:lineRule="exact"/>
        <w:ind w:left="0"/>
        <w:jc w:val="both"/>
        <w:rPr>
          <w:rFonts w:ascii="Microsoft YaHei UI" w:hAnsi="Microsoft YaHei UI" w:eastAsia="Microsoft YaHei UI"/>
          <w:color w:val="888888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888888"/>
          <w:sz w:val="21"/>
          <w:szCs w:val="21"/>
        </w:rPr>
        <w:t>支持关键字段检索、高级检索，重点增加了全平台图书的全文检索，可以从书名、作者、图书简介、丛书、附注任意一项中检索，比如在附注中可检索到哪些图书是国家自然科学基金资助成果。 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440" w:lineRule="exact"/>
        <w:ind w:left="0"/>
        <w:jc w:val="both"/>
        <w:rPr>
          <w:rFonts w:ascii="Microsoft YaHei UI" w:hAnsi="Microsoft YaHei UI" w:eastAsia="Microsoft YaHei UI"/>
          <w:color w:val="888888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888888"/>
          <w:sz w:val="21"/>
          <w:szCs w:val="21"/>
        </w:rPr>
        <w:t>支持逻辑检索式和分词检索，即可以同时检索多个关键词。 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440" w:lineRule="exact"/>
        <w:ind w:left="0"/>
        <w:jc w:val="both"/>
        <w:rPr>
          <w:rFonts w:ascii="Microsoft YaHei UI" w:hAnsi="Microsoft YaHei UI" w:eastAsia="Microsoft YaHei UI"/>
          <w:color w:val="888888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888888"/>
          <w:sz w:val="21"/>
          <w:szCs w:val="21"/>
        </w:rPr>
        <w:t>可对检索结果根据学科、图书类型、出版时间进行二次筛选。 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440" w:lineRule="exact"/>
        <w:ind w:left="0"/>
        <w:jc w:val="both"/>
        <w:rPr>
          <w:rFonts w:ascii="Microsoft YaHei UI" w:hAnsi="Microsoft YaHei UI" w:eastAsia="Microsoft YaHei UI"/>
          <w:color w:val="888888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888888"/>
          <w:sz w:val="21"/>
          <w:szCs w:val="21"/>
        </w:rPr>
        <w:t>支持检索结果列表导出EXCEL。 </w:t>
      </w:r>
    </w:p>
    <w:p>
      <w:pPr>
        <w:widowControl/>
        <w:shd w:val="clear" w:color="auto" w:fill="FFFFFF"/>
        <w:spacing w:line="360" w:lineRule="auto"/>
        <w:ind w:left="482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</w:p>
    <w:p>
      <w:pPr>
        <w:pStyle w:val="18"/>
        <w:widowControl/>
        <w:numPr>
          <w:ilvl w:val="0"/>
          <w:numId w:val="1"/>
        </w:numPr>
        <w:shd w:val="clear" w:color="auto" w:fill="FFFFFF"/>
        <w:spacing w:line="360" w:lineRule="auto"/>
        <w:ind w:left="426" w:firstLineChars="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阅读便捷：</w:t>
      </w:r>
      <w:r>
        <w:rPr>
          <w:rFonts w:hint="eastAsia" w:ascii="宋体" w:hAnsi="宋体" w:eastAsia="宋体" w:cs="宋体"/>
          <w:bCs/>
          <w:color w:val="222222"/>
          <w:kern w:val="0"/>
          <w:sz w:val="24"/>
          <w:szCs w:val="24"/>
        </w:rPr>
        <w:t>界面清晰、导航便捷，分为15个学科辑，首页显示精品推荐和最新图书，采用WebPDF技术增强在线阅读和使用的良好体验。</w:t>
      </w:r>
    </w:p>
    <w:p>
      <w:pPr>
        <w:pStyle w:val="18"/>
        <w:widowControl/>
        <w:ind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kern w:val="0"/>
        </w:rPr>
        <w:drawing>
          <wp:inline distT="0" distB="0" distL="0" distR="0">
            <wp:extent cx="5065395" cy="3064510"/>
            <wp:effectExtent l="171450" t="133350" r="363321" b="307146"/>
            <wp:docPr id="8" name="图片 1" descr="C:\Users\Tang\AppData\Roaming\Tencent\Users\241979767\QQ\WinTemp\RichOle\8NLMDQ0WA$41FC~~_PXEQ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Tang\AppData\Roaming\Tencent\Users\241979767\QQ\WinTemp\RichOle\8NLMDQ0WA$41FC~~_PXEQIA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6576" cy="3065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40" w:lineRule="exact"/>
        <w:jc w:val="both"/>
        <w:rPr>
          <w:rFonts w:ascii="Microsoft YaHei UI" w:hAnsi="Microsoft YaHei UI" w:eastAsia="Microsoft YaHei UI"/>
          <w:color w:val="222222"/>
          <w:spacing w:val="15"/>
          <w:sz w:val="21"/>
          <w:szCs w:val="21"/>
        </w:rPr>
      </w:pPr>
      <w:r>
        <w:rPr>
          <w:rStyle w:val="14"/>
          <w:rFonts w:hint="eastAsia" w:ascii="Microsoft YaHei UI" w:hAnsi="Microsoft YaHei UI" w:eastAsia="Microsoft YaHei UI"/>
          <w:color w:val="888888"/>
          <w:spacing w:val="15"/>
          <w:sz w:val="21"/>
          <w:szCs w:val="21"/>
        </w:rPr>
        <w:t>数据信息全面而丰富，方便数字资源管理、浏览和引用</w:t>
      </w:r>
    </w:p>
    <w:p>
      <w:pPr>
        <w:pStyle w:val="5"/>
        <w:numPr>
          <w:ilvl w:val="0"/>
          <w:numId w:val="3"/>
        </w:numPr>
        <w:shd w:val="clear" w:color="auto" w:fill="FFFFFF"/>
        <w:spacing w:before="0" w:beforeAutospacing="0" w:after="0" w:afterAutospacing="0" w:line="440" w:lineRule="exact"/>
        <w:ind w:left="0"/>
        <w:jc w:val="both"/>
        <w:rPr>
          <w:rFonts w:ascii="Microsoft YaHei UI" w:hAnsi="Microsoft YaHei UI" w:eastAsia="Microsoft YaHei UI"/>
          <w:color w:val="888888"/>
          <w:spacing w:val="15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888888"/>
          <w:spacing w:val="15"/>
          <w:sz w:val="21"/>
          <w:szCs w:val="21"/>
        </w:rPr>
        <w:t>每本书显示学科分类和所属丛书，并可进行关联检索。</w:t>
      </w:r>
    </w:p>
    <w:p>
      <w:pPr>
        <w:pStyle w:val="5"/>
        <w:numPr>
          <w:ilvl w:val="0"/>
          <w:numId w:val="3"/>
        </w:numPr>
        <w:shd w:val="clear" w:color="auto" w:fill="FFFFFF"/>
        <w:spacing w:before="0" w:beforeAutospacing="0" w:after="0" w:afterAutospacing="0" w:line="440" w:lineRule="exact"/>
        <w:ind w:left="0"/>
        <w:jc w:val="both"/>
        <w:rPr>
          <w:rFonts w:ascii="Microsoft YaHei UI" w:hAnsi="Microsoft YaHei UI" w:eastAsia="Microsoft YaHei UI"/>
          <w:color w:val="888888"/>
          <w:spacing w:val="15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888888"/>
          <w:spacing w:val="15"/>
          <w:sz w:val="21"/>
          <w:szCs w:val="21"/>
        </w:rPr>
        <w:t>支持图书引文规范格式导出。</w:t>
      </w:r>
    </w:p>
    <w:p>
      <w:pPr>
        <w:pStyle w:val="18"/>
        <w:widowControl/>
        <w:ind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18"/>
        <w:widowControl/>
        <w:shd w:val="clear" w:color="auto" w:fill="FFFFFF"/>
        <w:spacing w:line="360" w:lineRule="auto"/>
        <w:ind w:left="426" w:firstLine="0" w:firstLineChars="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</w:p>
    <w:p>
      <w:pPr>
        <w:pStyle w:val="18"/>
        <w:widowControl/>
        <w:shd w:val="clear" w:color="auto" w:fill="FFFFFF"/>
        <w:spacing w:line="360" w:lineRule="auto"/>
        <w:ind w:left="426" w:firstLine="0" w:firstLineChars="0"/>
        <w:jc w:val="center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color w:val="222222"/>
          <w:kern w:val="0"/>
          <w:sz w:val="24"/>
          <w:szCs w:val="24"/>
        </w:rPr>
        <w:drawing>
          <wp:inline distT="0" distB="0" distL="0" distR="0">
            <wp:extent cx="4572000" cy="2058670"/>
            <wp:effectExtent l="171450" t="133350" r="361918" b="303329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32" cy="2058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8"/>
        <w:widowControl/>
        <w:shd w:val="clear" w:color="auto" w:fill="FFFFFF"/>
        <w:spacing w:line="360" w:lineRule="auto"/>
        <w:ind w:left="426" w:firstLine="0" w:firstLineChars="0"/>
        <w:jc w:val="center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ascii="宋体" w:hAnsi="宋体" w:eastAsia="宋体" w:cs="宋体"/>
          <w:color w:val="555555"/>
          <w:kern w:val="0"/>
          <w:sz w:val="24"/>
          <w:szCs w:val="24"/>
        </w:rPr>
        <w:drawing>
          <wp:inline distT="0" distB="0" distL="0" distR="0">
            <wp:extent cx="4572000" cy="2124075"/>
            <wp:effectExtent l="171450" t="133350" r="361950" b="313765"/>
            <wp:docPr id="34" name="图片 2" descr="C:\Users\Tang\AppData\Roaming\Tencent\Users\241979767\QQ\WinTemp\RichOle\K]HHRPH0`2_ZPJH~5]1PN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 descr="C:\Users\Tang\AppData\Roaming\Tencent\Users\241979767\QQ\WinTemp\RichOle\K]HHRPH0`2_ZPJH~5]1PN4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2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520" w:lineRule="exact"/>
        <w:jc w:val="both"/>
        <w:rPr>
          <w:rFonts w:ascii="Microsoft YaHei UI" w:hAnsi="Microsoft YaHei UI" w:eastAsia="Microsoft YaHei UI"/>
          <w:color w:val="222222"/>
          <w:spacing w:val="15"/>
          <w:sz w:val="21"/>
          <w:szCs w:val="21"/>
        </w:rPr>
      </w:pPr>
      <w:r>
        <w:rPr>
          <w:rStyle w:val="14"/>
          <w:rFonts w:hint="eastAsia" w:ascii="Microsoft YaHei UI" w:hAnsi="Microsoft YaHei UI" w:eastAsia="Microsoft YaHei UI"/>
          <w:color w:val="888888"/>
          <w:spacing w:val="15"/>
          <w:sz w:val="21"/>
          <w:szCs w:val="21"/>
        </w:rPr>
        <w:t>基于云端的阅读和操作功能，支撑科学共同体共享学术资源和观点</w:t>
      </w:r>
    </w:p>
    <w:p>
      <w:pPr>
        <w:pStyle w:val="5"/>
        <w:numPr>
          <w:ilvl w:val="0"/>
          <w:numId w:val="4"/>
        </w:numPr>
        <w:shd w:val="clear" w:color="auto" w:fill="FFFFFF"/>
        <w:spacing w:before="0" w:beforeAutospacing="0" w:after="0" w:afterAutospacing="0" w:line="520" w:lineRule="exact"/>
        <w:ind w:left="0"/>
        <w:jc w:val="both"/>
        <w:rPr>
          <w:rFonts w:ascii="Microsoft YaHei UI" w:hAnsi="Microsoft YaHei UI" w:eastAsia="Microsoft YaHei UI"/>
          <w:color w:val="888888"/>
          <w:spacing w:val="15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888888"/>
          <w:spacing w:val="15"/>
          <w:sz w:val="21"/>
          <w:szCs w:val="21"/>
        </w:rPr>
        <w:t>支持在PDF上进行打字、备注、高亮、下划线、铅笔、图章、直线、箭头、椭圆和矩形等多种记录方式。 </w:t>
      </w:r>
    </w:p>
    <w:p>
      <w:pPr>
        <w:pStyle w:val="5"/>
        <w:numPr>
          <w:ilvl w:val="0"/>
          <w:numId w:val="4"/>
        </w:numPr>
        <w:shd w:val="clear" w:color="auto" w:fill="FFFFFF"/>
        <w:spacing w:before="0" w:beforeAutospacing="0" w:after="0" w:afterAutospacing="0" w:line="520" w:lineRule="exact"/>
        <w:ind w:left="0"/>
        <w:jc w:val="both"/>
        <w:rPr>
          <w:rFonts w:ascii="Microsoft YaHei UI" w:hAnsi="Microsoft YaHei UI" w:eastAsia="Microsoft YaHei UI"/>
          <w:color w:val="888888"/>
          <w:spacing w:val="15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888888"/>
          <w:spacing w:val="15"/>
          <w:sz w:val="21"/>
          <w:szCs w:val="21"/>
        </w:rPr>
        <w:t>可在特定页上打书签，书内可全文检索。 </w:t>
      </w:r>
    </w:p>
    <w:p>
      <w:pPr>
        <w:pStyle w:val="18"/>
        <w:widowControl/>
        <w:shd w:val="clear" w:color="auto" w:fill="FFFFFF"/>
        <w:spacing w:line="360" w:lineRule="auto"/>
        <w:ind w:left="426" w:firstLine="0" w:firstLineChars="0"/>
        <w:jc w:val="center"/>
        <w:rPr>
          <w:rFonts w:ascii="宋体" w:hAnsi="宋体" w:eastAsia="宋体" w:cs="宋体"/>
          <w:color w:val="555555"/>
          <w:kern w:val="0"/>
          <w:sz w:val="24"/>
          <w:szCs w:val="24"/>
        </w:rPr>
      </w:pPr>
    </w:p>
    <w:p>
      <w:pPr>
        <w:pStyle w:val="18"/>
        <w:widowControl/>
        <w:shd w:val="clear" w:color="auto" w:fill="FFFFFF"/>
        <w:spacing w:line="360" w:lineRule="auto"/>
        <w:ind w:left="426" w:firstLine="0" w:firstLineChars="0"/>
        <w:jc w:val="center"/>
        <w:rPr>
          <w:rFonts w:ascii="宋体" w:hAnsi="宋体" w:eastAsia="宋体" w:cs="宋体"/>
          <w:color w:val="555555"/>
          <w:kern w:val="0"/>
          <w:sz w:val="24"/>
          <w:szCs w:val="24"/>
        </w:rPr>
      </w:pPr>
    </w:p>
    <w:p>
      <w:pPr>
        <w:pStyle w:val="18"/>
        <w:widowControl/>
        <w:numPr>
          <w:ilvl w:val="0"/>
          <w:numId w:val="1"/>
        </w:numPr>
        <w:shd w:val="clear" w:color="auto" w:fill="FFFFFF"/>
        <w:spacing w:line="360" w:lineRule="auto"/>
        <w:ind w:left="426" w:firstLineChars="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使用方便：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多终端页面适应，可在线或下载阅读。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kern w:val="0"/>
        </w:rPr>
        <w:drawing>
          <wp:inline distT="0" distB="0" distL="0" distR="0">
            <wp:extent cx="2667000" cy="2525395"/>
            <wp:effectExtent l="19050" t="0" r="0" b="0"/>
            <wp:docPr id="35" name="图片 3" descr="C:\Users\Tang\AppData\Roaming\Tencent\Users\241979767\QQ\WinTemp\RichOle\C3CRYLRIY$BYDA}CTF81%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 descr="C:\Users\Tang\AppData\Roaming\Tencent\Users\241979767\QQ\WinTemp\RichOle\C3CRYLRIY$BYDA}CTF81%Y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52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18"/>
        <w:widowControl/>
        <w:numPr>
          <w:ilvl w:val="0"/>
          <w:numId w:val="1"/>
        </w:numPr>
        <w:shd w:val="clear" w:color="auto" w:fill="FFFFFF"/>
        <w:spacing w:line="360" w:lineRule="auto"/>
        <w:ind w:left="426" w:firstLineChars="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权限灵活：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全文权限经由IP控制，无并发用户数量限制；已接入教育网联邦认证与资源共享基础设施（CARSI），方便高校用户校外访问。</w:t>
      </w:r>
    </w:p>
    <w:p>
      <w:pPr>
        <w:widowControl/>
        <w:shd w:val="clear" w:color="auto" w:fill="FFFFFF"/>
        <w:spacing w:line="360" w:lineRule="auto"/>
        <w:ind w:left="6"/>
        <w:jc w:val="center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kern w:val="0"/>
        </w:rPr>
        <w:drawing>
          <wp:inline distT="0" distB="0" distL="0" distR="0">
            <wp:extent cx="2819400" cy="733425"/>
            <wp:effectExtent l="171450" t="133350" r="361950" b="314325"/>
            <wp:docPr id="36" name="图片 9" descr="C:\Users\Tang\AppData\Roaming\Tencent\Users\241979767\QQ\WinTemp\RichOle\98_2GCZZIWNDHRTJ_PKWE6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 descr="C:\Users\Tang\AppData\Roaming\Tencent\Users\241979767\QQ\WinTemp\RichOle\98_2GCZZIWNDHRTJ_PKWE6I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8"/>
        <w:widowControl/>
        <w:numPr>
          <w:ilvl w:val="0"/>
          <w:numId w:val="1"/>
        </w:numPr>
        <w:shd w:val="clear" w:color="auto" w:fill="FFFFFF"/>
        <w:spacing w:line="360" w:lineRule="auto"/>
        <w:ind w:left="426" w:firstLineChars="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信息规范：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具备标准的电子图书MARC数据和元数据，支持图书馆联机公共目录检索（OPAC）。</w:t>
      </w:r>
    </w:p>
    <w:p>
      <w:pPr>
        <w:pStyle w:val="18"/>
        <w:widowControl/>
        <w:numPr>
          <w:ilvl w:val="0"/>
          <w:numId w:val="1"/>
        </w:numPr>
        <w:shd w:val="clear" w:color="auto" w:fill="FFFFFF"/>
        <w:spacing w:line="360" w:lineRule="auto"/>
        <w:ind w:left="426" w:firstLineChars="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统计标准：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提供符合COUNTER标准的网络电子资源统计数据。</w:t>
      </w:r>
    </w:p>
    <w:p>
      <w:pPr>
        <w:widowControl/>
        <w:spacing w:before="240" w:line="360" w:lineRule="auto"/>
        <w:ind w:firstLine="560" w:firstLineChars="200"/>
        <w:jc w:val="left"/>
        <w:rPr>
          <w:rFonts w:ascii="微软雅黑" w:hAnsi="微软雅黑" w:eastAsia="微软雅黑" w:cs="Arial"/>
          <w:b/>
          <w:kern w:val="0"/>
          <w:sz w:val="28"/>
          <w:szCs w:val="24"/>
        </w:rPr>
      </w:pPr>
    </w:p>
    <w:p>
      <w:pPr>
        <w:widowControl/>
        <w:spacing w:before="240" w:line="360" w:lineRule="auto"/>
        <w:ind w:firstLine="560" w:firstLineChars="200"/>
        <w:jc w:val="left"/>
        <w:rPr>
          <w:rFonts w:ascii="微软雅黑" w:hAnsi="微软雅黑" w:eastAsia="微软雅黑" w:cs="Arial"/>
          <w:b/>
          <w:kern w:val="0"/>
          <w:sz w:val="28"/>
          <w:szCs w:val="24"/>
        </w:rPr>
      </w:pPr>
      <w:r>
        <w:rPr>
          <w:rFonts w:hint="eastAsia" w:ascii="微软雅黑" w:hAnsi="微软雅黑" w:eastAsia="微软雅黑" w:cs="Arial"/>
          <w:b/>
          <w:kern w:val="0"/>
          <w:sz w:val="28"/>
          <w:szCs w:val="24"/>
        </w:rPr>
        <w:t>五、出版机构简介</w:t>
      </w:r>
    </w:p>
    <w:p>
      <w:pPr>
        <w:widowControl/>
        <w:spacing w:line="360" w:lineRule="auto"/>
        <w:ind w:firstLine="480" w:firstLineChars="200"/>
        <w:jc w:val="left"/>
        <w:rPr>
          <w:rFonts w:ascii="微软雅黑" w:hAnsi="微软雅黑" w:eastAsia="微软雅黑" w:cs="Arial"/>
          <w:b/>
          <w:kern w:val="0"/>
          <w:sz w:val="28"/>
          <w:szCs w:val="24"/>
        </w:rPr>
      </w:pP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中国科技出版传媒股份有限公司（科学出版社）是国内学科分布最全、出版规模最大的综合性科技出版机构。作为中国科技出版的重镇，科学出版社入围国家图书重点出版规划项目数位列全国第一；获得国家出版基金项目、国家科学技术进步奖的数量在全国出版社中位列前茅。依托中国科学院和“科学家的出版社”的品牌优势，科学出版社充分挖掘国内外优良出版资源，形成了以科学（S）、技术（T）、医学（M）、教育（E）、人文社科（H）为主要出版领域的业务架构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在出版业数字化转型的浪潮中，科学出版明确了从传统出版向知识服务转型发展的战略路径，建立了“科学文库”“中国生物志库”“中国古生物地层知识库”“科学智库”等一系列专业类知识服务产品，同时利用资源优势和互联网技术大力发展学术类定制化服务，助力机构客户的学科发展和人才培养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515" w:hRule="atLeast"/>
        </w:trPr>
        <w:tc>
          <w:tcPr>
            <w:tcW w:w="426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Arial"/>
                <w:b/>
                <w:kern w:val="0"/>
                <w:sz w:val="28"/>
                <w:szCs w:val="24"/>
              </w:rPr>
            </w:pPr>
            <w:r>
              <w:rPr>
                <w:rFonts w:ascii="微软雅黑" w:hAnsi="微软雅黑" w:eastAsia="微软雅黑" w:cs="Arial"/>
                <w:b/>
                <w:kern w:val="0"/>
                <w:sz w:val="28"/>
                <w:szCs w:val="24"/>
              </w:rPr>
              <w:drawing>
                <wp:inline distT="0" distB="0" distL="0" distR="0">
                  <wp:extent cx="1076325" cy="1052830"/>
                  <wp:effectExtent l="19050" t="0" r="9525" b="0"/>
                  <wp:docPr id="38" name="图片 5" descr="C:\Users\Tang\AppData\Roaming\Tencent\Users\241979767\QQ\WinTemp\RichOle\IZV[H6C{5VBFGV4OGU%Y6)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 descr="C:\Users\Tang\AppData\Roaming\Tencent\Users\241979767\QQ\WinTemp\RichOle\IZV[H6C{5VBFGV4OGU%Y6)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947" t="3333" r="3947" b="5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53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75055" cy="1054735"/>
                  <wp:effectExtent l="19050" t="0" r="0" b="0"/>
                  <wp:docPr id="39" name="图片 7" descr="C:\Users\Tang\AppData\Roaming\Tencent\Users\241979767\QQ\WinTemp\RichOle\4B%2W~8`~DSI07Z1JB$2%U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7" descr="C:\Users\Tang\AppData\Roaming\Tencent\Users\241979767\QQ\WinTemp\RichOle\4B%2W~8`~DSI07Z1JB$2%U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18" cy="105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/>
              <w:spacing w:line="320" w:lineRule="exact"/>
              <w:jc w:val="center"/>
              <w:rPr>
                <w:rFonts w:ascii="微软雅黑" w:hAnsi="微软雅黑" w:eastAsia="微软雅黑" w:cs="宋体"/>
                <w:b/>
                <w:kern w:val="0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Cs w:val="24"/>
              </w:rPr>
              <w:t>关注科学文库公众号</w:t>
            </w:r>
          </w:p>
          <w:p>
            <w:pPr>
              <w:widowControl/>
              <w:spacing w:line="32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Cs w:val="24"/>
              </w:rPr>
              <w:t>在线阅读科技好书</w:t>
            </w:r>
          </w:p>
        </w:tc>
        <w:tc>
          <w:tcPr>
            <w:tcW w:w="4261" w:type="dxa"/>
          </w:tcPr>
          <w:p>
            <w:pPr>
              <w:widowControl/>
              <w:spacing w:line="320" w:lineRule="exact"/>
              <w:jc w:val="center"/>
              <w:rPr>
                <w:rFonts w:ascii="微软雅黑" w:hAnsi="微软雅黑" w:eastAsia="微软雅黑" w:cs="宋体"/>
                <w:b/>
                <w:kern w:val="0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Cs w:val="24"/>
              </w:rPr>
              <w:t>科学出版社</w:t>
            </w:r>
          </w:p>
          <w:p>
            <w:pPr>
              <w:widowControl/>
              <w:spacing w:line="320" w:lineRule="exact"/>
              <w:jc w:val="center"/>
              <w:rPr>
                <w:rFonts w:ascii="微软雅黑" w:hAnsi="微软雅黑" w:eastAsia="微软雅黑" w:cs="宋体"/>
                <w:b/>
                <w:kern w:val="0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Cs w:val="24"/>
              </w:rPr>
              <w:t>系列数字产品</w:t>
            </w:r>
          </w:p>
        </w:tc>
      </w:tr>
    </w:tbl>
    <w:p>
      <w:pPr>
        <w:widowControl/>
        <w:spacing w:line="360" w:lineRule="auto"/>
        <w:ind w:firstLine="560" w:firstLineChars="200"/>
        <w:jc w:val="left"/>
        <w:rPr>
          <w:rFonts w:ascii="微软雅黑" w:hAnsi="微软雅黑" w:eastAsia="微软雅黑" w:cs="Arial"/>
          <w:b/>
          <w:kern w:val="0"/>
          <w:sz w:val="28"/>
          <w:szCs w:val="24"/>
        </w:rPr>
      </w:pPr>
    </w:p>
    <w:p>
      <w:pPr>
        <w:widowControl/>
        <w:spacing w:line="360" w:lineRule="auto"/>
        <w:ind w:firstLine="560" w:firstLineChars="200"/>
        <w:jc w:val="left"/>
        <w:rPr>
          <w:rFonts w:ascii="微软雅黑" w:hAnsi="微软雅黑" w:eastAsia="微软雅黑" w:cs="Arial"/>
          <w:b/>
          <w:kern w:val="0"/>
          <w:sz w:val="28"/>
          <w:szCs w:val="24"/>
        </w:rPr>
      </w:pPr>
    </w:p>
    <w:p>
      <w:pPr>
        <w:widowControl/>
        <w:spacing w:before="100" w:beforeAutospacing="1" w:line="360" w:lineRule="auto"/>
        <w:ind w:right="480" w:firstLine="4939" w:firstLineChars="2050"/>
        <w:rPr>
          <w:rFonts w:ascii="Arial" w:hAnsi="宋体" w:eastAsia="宋体" w:cs="Arial"/>
          <w:b/>
          <w:sz w:val="24"/>
          <w:szCs w:val="24"/>
        </w:rPr>
      </w:pPr>
      <w:r>
        <w:rPr>
          <w:rFonts w:ascii="Arial" w:hAnsi="宋体" w:eastAsia="宋体" w:cs="Arial"/>
          <w:b/>
          <w:sz w:val="24"/>
          <w:szCs w:val="24"/>
        </w:rPr>
        <w:t>产品联系方式</w:t>
      </w:r>
      <w:r>
        <w:rPr>
          <w:rFonts w:hint="eastAsia" w:ascii="Arial" w:hAnsi="宋体" w:eastAsia="宋体" w:cs="Arial"/>
          <w:b/>
          <w:sz w:val="24"/>
          <w:szCs w:val="24"/>
        </w:rPr>
        <w:t>：</w:t>
      </w:r>
    </w:p>
    <w:p>
      <w:pPr>
        <w:widowControl/>
        <w:spacing w:line="360" w:lineRule="auto"/>
        <w:ind w:right="480" w:firstLine="5542" w:firstLineChars="2300"/>
        <w:rPr>
          <w:rFonts w:hint="eastAsia" w:ascii="Arial" w:hAnsi="Arial" w:eastAsia="宋体" w:cs="Arial"/>
          <w:b/>
          <w:bCs/>
          <w:sz w:val="24"/>
          <w:szCs w:val="24"/>
        </w:rPr>
      </w:pPr>
      <w:r>
        <w:rPr>
          <w:rFonts w:hint="eastAsia" w:ascii="Arial" w:hAnsi="Arial" w:eastAsia="宋体" w:cs="Arial"/>
          <w:b/>
          <w:bCs/>
          <w:sz w:val="24"/>
          <w:szCs w:val="24"/>
          <w:lang w:val="en-US" w:eastAsia="zh-CN"/>
        </w:rPr>
        <w:t>韩老师</w:t>
      </w:r>
      <w:r>
        <w:rPr>
          <w:rFonts w:hint="eastAsia" w:ascii="Arial" w:hAnsi="Arial" w:eastAsia="宋体" w:cs="Arial"/>
          <w:b/>
          <w:bCs/>
          <w:sz w:val="24"/>
          <w:szCs w:val="24"/>
        </w:rPr>
        <w:t>13275607719</w:t>
      </w:r>
    </w:p>
    <w:p>
      <w:pPr>
        <w:widowControl/>
        <w:spacing w:line="360" w:lineRule="auto"/>
        <w:ind w:right="480" w:firstLine="5542" w:firstLineChars="2300"/>
        <w:rPr>
          <w:rFonts w:ascii="Arial" w:hAnsi="Arial" w:eastAsia="宋体" w:cs="Arial"/>
          <w:b/>
          <w:bCs/>
          <w:kern w:val="0"/>
          <w:sz w:val="24"/>
          <w:szCs w:val="24"/>
        </w:rPr>
      </w:pPr>
      <w:r>
        <w:rPr>
          <w:rFonts w:hint="eastAsia" w:ascii="Arial" w:hAnsi="Arial" w:eastAsia="宋体" w:cs="Arial"/>
          <w:b/>
          <w:bCs/>
          <w:sz w:val="24"/>
          <w:szCs w:val="24"/>
        </w:rPr>
        <w:t>723312226@qq.com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619391"/>
      <w:docPartObj>
        <w:docPartGallery w:val="autotext"/>
      </w:docPartObj>
    </w:sdtPr>
    <w:sdtContent>
      <w:p>
        <w:pPr>
          <w:pStyle w:val="3"/>
          <w:jc w:val="center"/>
        </w:pPr>
        <w:r>
          <w:t>第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  <w:r>
          <w:t>页</w:t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楷体" w:hAnsi="楷体" w:eastAsia="楷体"/>
        <w:b/>
        <w:sz w:val="21"/>
      </w:rPr>
    </w:pPr>
    <w:r>
      <w:rPr>
        <w:rFonts w:hint="eastAsia" w:ascii="楷体" w:hAnsi="楷体" w:eastAsia="楷体"/>
        <w:b/>
        <w:sz w:val="21"/>
      </w:rPr>
      <w:t xml:space="preserve">科学文库产品介绍                                     </w:t>
    </w:r>
    <w:r>
      <w:drawing>
        <wp:inline distT="0" distB="0" distL="0" distR="0">
          <wp:extent cx="1630680" cy="276225"/>
          <wp:effectExtent l="19050" t="0" r="7620" b="0"/>
          <wp:docPr id="2" name="图片 1" descr="F:\新部门\科学文库\分学科数字产品\营销销售\科学出版社logo-晓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F:\新部门\科学文库\分学科数字产品\营销销售\科学出版社logo-晓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4428"/>
                  <a:stretch>
                    <a:fillRect/>
                  </a:stretch>
                </pic:blipFill>
                <pic:spPr>
                  <a:xfrm>
                    <a:off x="0" y="0"/>
                    <a:ext cx="163068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325DF9"/>
    <w:multiLevelType w:val="multilevel"/>
    <w:tmpl w:val="11325DF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2184BD0"/>
    <w:multiLevelType w:val="multilevel"/>
    <w:tmpl w:val="12184BD0"/>
    <w:lvl w:ilvl="0" w:tentative="0">
      <w:start w:val="1"/>
      <w:numFmt w:val="bullet"/>
      <w:lvlText w:val=""/>
      <w:lvlJc w:val="left"/>
      <w:pPr>
        <w:ind w:left="90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2" w:hanging="420"/>
      </w:pPr>
      <w:rPr>
        <w:rFonts w:hint="default" w:ascii="Wingdings" w:hAnsi="Wingdings"/>
      </w:rPr>
    </w:lvl>
  </w:abstractNum>
  <w:abstractNum w:abstractNumId="2">
    <w:nsid w:val="2D862547"/>
    <w:multiLevelType w:val="multilevel"/>
    <w:tmpl w:val="2D86254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4E276CD1"/>
    <w:multiLevelType w:val="multilevel"/>
    <w:tmpl w:val="4E276CD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M2MTI0MTZlNzIxM2E3YWRhN2QzNTBiYjQyMmZmYTQifQ=="/>
  </w:docVars>
  <w:rsids>
    <w:rsidRoot w:val="00775BD2"/>
    <w:rsid w:val="0000053F"/>
    <w:rsid w:val="00025156"/>
    <w:rsid w:val="000419D1"/>
    <w:rsid w:val="00045104"/>
    <w:rsid w:val="00053979"/>
    <w:rsid w:val="0006225A"/>
    <w:rsid w:val="000630A7"/>
    <w:rsid w:val="00063456"/>
    <w:rsid w:val="000701B7"/>
    <w:rsid w:val="000736ED"/>
    <w:rsid w:val="00082B4C"/>
    <w:rsid w:val="000A13C5"/>
    <w:rsid w:val="000B77D6"/>
    <w:rsid w:val="000D0460"/>
    <w:rsid w:val="000E34A9"/>
    <w:rsid w:val="000E4551"/>
    <w:rsid w:val="000F5209"/>
    <w:rsid w:val="000F765C"/>
    <w:rsid w:val="00103C73"/>
    <w:rsid w:val="0010544E"/>
    <w:rsid w:val="001066EF"/>
    <w:rsid w:val="001136A4"/>
    <w:rsid w:val="00116A00"/>
    <w:rsid w:val="0013649F"/>
    <w:rsid w:val="001475FB"/>
    <w:rsid w:val="00155BB0"/>
    <w:rsid w:val="00186C81"/>
    <w:rsid w:val="001A65B0"/>
    <w:rsid w:val="001B0B0D"/>
    <w:rsid w:val="001C3E3F"/>
    <w:rsid w:val="001F29F1"/>
    <w:rsid w:val="001F517B"/>
    <w:rsid w:val="001F7DE8"/>
    <w:rsid w:val="002045CB"/>
    <w:rsid w:val="002070A7"/>
    <w:rsid w:val="002077AD"/>
    <w:rsid w:val="002106FD"/>
    <w:rsid w:val="00210D45"/>
    <w:rsid w:val="00211B56"/>
    <w:rsid w:val="00221262"/>
    <w:rsid w:val="0023786D"/>
    <w:rsid w:val="00245636"/>
    <w:rsid w:val="00254F45"/>
    <w:rsid w:val="002610FD"/>
    <w:rsid w:val="00265798"/>
    <w:rsid w:val="00271DAD"/>
    <w:rsid w:val="002766FF"/>
    <w:rsid w:val="00276DEB"/>
    <w:rsid w:val="00291B2E"/>
    <w:rsid w:val="002B2263"/>
    <w:rsid w:val="002D2EE9"/>
    <w:rsid w:val="002D2FAA"/>
    <w:rsid w:val="002D3F39"/>
    <w:rsid w:val="00327C7A"/>
    <w:rsid w:val="003402D2"/>
    <w:rsid w:val="00344559"/>
    <w:rsid w:val="00356F93"/>
    <w:rsid w:val="0036059C"/>
    <w:rsid w:val="00372AC5"/>
    <w:rsid w:val="003752F7"/>
    <w:rsid w:val="003862AF"/>
    <w:rsid w:val="00387538"/>
    <w:rsid w:val="00390CF8"/>
    <w:rsid w:val="00393EF4"/>
    <w:rsid w:val="003A0134"/>
    <w:rsid w:val="003A05B5"/>
    <w:rsid w:val="003B28E5"/>
    <w:rsid w:val="003B4387"/>
    <w:rsid w:val="003B5D13"/>
    <w:rsid w:val="003B6661"/>
    <w:rsid w:val="003B7C70"/>
    <w:rsid w:val="003C775D"/>
    <w:rsid w:val="004075A9"/>
    <w:rsid w:val="0041069E"/>
    <w:rsid w:val="00420420"/>
    <w:rsid w:val="004209AC"/>
    <w:rsid w:val="00422C8D"/>
    <w:rsid w:val="00430084"/>
    <w:rsid w:val="004305A8"/>
    <w:rsid w:val="00431454"/>
    <w:rsid w:val="00433756"/>
    <w:rsid w:val="00442E4C"/>
    <w:rsid w:val="00443715"/>
    <w:rsid w:val="00450326"/>
    <w:rsid w:val="004624F4"/>
    <w:rsid w:val="00463466"/>
    <w:rsid w:val="00466975"/>
    <w:rsid w:val="00466D94"/>
    <w:rsid w:val="00473490"/>
    <w:rsid w:val="00486CF5"/>
    <w:rsid w:val="004A3471"/>
    <w:rsid w:val="004A5AD8"/>
    <w:rsid w:val="004A67A6"/>
    <w:rsid w:val="004D5F74"/>
    <w:rsid w:val="004E5BA5"/>
    <w:rsid w:val="00512900"/>
    <w:rsid w:val="00515069"/>
    <w:rsid w:val="005211F7"/>
    <w:rsid w:val="005554E8"/>
    <w:rsid w:val="00561336"/>
    <w:rsid w:val="00566FA8"/>
    <w:rsid w:val="00570A14"/>
    <w:rsid w:val="00574F2A"/>
    <w:rsid w:val="005769DE"/>
    <w:rsid w:val="0059356D"/>
    <w:rsid w:val="005964D2"/>
    <w:rsid w:val="005B03C3"/>
    <w:rsid w:val="005C3F5A"/>
    <w:rsid w:val="005C6A75"/>
    <w:rsid w:val="005D56FC"/>
    <w:rsid w:val="005F6EB6"/>
    <w:rsid w:val="00605D2A"/>
    <w:rsid w:val="00611E15"/>
    <w:rsid w:val="00612D40"/>
    <w:rsid w:val="00636271"/>
    <w:rsid w:val="00661AE3"/>
    <w:rsid w:val="00666E5A"/>
    <w:rsid w:val="0066737F"/>
    <w:rsid w:val="00680C3D"/>
    <w:rsid w:val="00694C69"/>
    <w:rsid w:val="00696995"/>
    <w:rsid w:val="006A0F85"/>
    <w:rsid w:val="006B6760"/>
    <w:rsid w:val="006C42A2"/>
    <w:rsid w:val="006C46D7"/>
    <w:rsid w:val="006D247F"/>
    <w:rsid w:val="00711647"/>
    <w:rsid w:val="00713ABE"/>
    <w:rsid w:val="00715807"/>
    <w:rsid w:val="00715A84"/>
    <w:rsid w:val="00725469"/>
    <w:rsid w:val="0072793D"/>
    <w:rsid w:val="007330B8"/>
    <w:rsid w:val="00740E11"/>
    <w:rsid w:val="00743FFF"/>
    <w:rsid w:val="00747334"/>
    <w:rsid w:val="00756696"/>
    <w:rsid w:val="007744C8"/>
    <w:rsid w:val="007748E6"/>
    <w:rsid w:val="00775BD2"/>
    <w:rsid w:val="00781686"/>
    <w:rsid w:val="00784376"/>
    <w:rsid w:val="00785C83"/>
    <w:rsid w:val="00792BC8"/>
    <w:rsid w:val="007A58F4"/>
    <w:rsid w:val="007A6518"/>
    <w:rsid w:val="007C116D"/>
    <w:rsid w:val="007D7C9E"/>
    <w:rsid w:val="007E647E"/>
    <w:rsid w:val="007F4696"/>
    <w:rsid w:val="008005C2"/>
    <w:rsid w:val="0080502B"/>
    <w:rsid w:val="008052D9"/>
    <w:rsid w:val="008064CA"/>
    <w:rsid w:val="008210AB"/>
    <w:rsid w:val="00830D2C"/>
    <w:rsid w:val="00840236"/>
    <w:rsid w:val="00853859"/>
    <w:rsid w:val="008640D2"/>
    <w:rsid w:val="00865540"/>
    <w:rsid w:val="0086637A"/>
    <w:rsid w:val="00872C78"/>
    <w:rsid w:val="00874091"/>
    <w:rsid w:val="00897F37"/>
    <w:rsid w:val="008A0487"/>
    <w:rsid w:val="008A1770"/>
    <w:rsid w:val="008A3195"/>
    <w:rsid w:val="008A3940"/>
    <w:rsid w:val="008B3221"/>
    <w:rsid w:val="008B717D"/>
    <w:rsid w:val="008C411C"/>
    <w:rsid w:val="008C5749"/>
    <w:rsid w:val="008C60DF"/>
    <w:rsid w:val="008D4225"/>
    <w:rsid w:val="008E742C"/>
    <w:rsid w:val="008F469E"/>
    <w:rsid w:val="00907E10"/>
    <w:rsid w:val="00914337"/>
    <w:rsid w:val="00922EA7"/>
    <w:rsid w:val="00923A5B"/>
    <w:rsid w:val="00930E7C"/>
    <w:rsid w:val="0093415C"/>
    <w:rsid w:val="00942D14"/>
    <w:rsid w:val="00963E36"/>
    <w:rsid w:val="009713E4"/>
    <w:rsid w:val="009746B8"/>
    <w:rsid w:val="00975B4B"/>
    <w:rsid w:val="0099660E"/>
    <w:rsid w:val="009A084B"/>
    <w:rsid w:val="009B12E9"/>
    <w:rsid w:val="009D2B67"/>
    <w:rsid w:val="009D6C96"/>
    <w:rsid w:val="009F2967"/>
    <w:rsid w:val="009F5211"/>
    <w:rsid w:val="009F7091"/>
    <w:rsid w:val="009F75EA"/>
    <w:rsid w:val="00A05723"/>
    <w:rsid w:val="00A07298"/>
    <w:rsid w:val="00A138B3"/>
    <w:rsid w:val="00A20B65"/>
    <w:rsid w:val="00A402E5"/>
    <w:rsid w:val="00A40667"/>
    <w:rsid w:val="00A42FF4"/>
    <w:rsid w:val="00A4696A"/>
    <w:rsid w:val="00A61B7C"/>
    <w:rsid w:val="00A82242"/>
    <w:rsid w:val="00A869C6"/>
    <w:rsid w:val="00A90CA3"/>
    <w:rsid w:val="00AA590F"/>
    <w:rsid w:val="00AD6EDF"/>
    <w:rsid w:val="00B01FA2"/>
    <w:rsid w:val="00B07404"/>
    <w:rsid w:val="00B16FAC"/>
    <w:rsid w:val="00B2376D"/>
    <w:rsid w:val="00B31DE6"/>
    <w:rsid w:val="00B355E9"/>
    <w:rsid w:val="00B47A15"/>
    <w:rsid w:val="00B64767"/>
    <w:rsid w:val="00B65051"/>
    <w:rsid w:val="00B75B0C"/>
    <w:rsid w:val="00B815DE"/>
    <w:rsid w:val="00B8745C"/>
    <w:rsid w:val="00BC7499"/>
    <w:rsid w:val="00C03EFE"/>
    <w:rsid w:val="00C05CF5"/>
    <w:rsid w:val="00C201D8"/>
    <w:rsid w:val="00C2633C"/>
    <w:rsid w:val="00C32563"/>
    <w:rsid w:val="00C4322D"/>
    <w:rsid w:val="00C46E76"/>
    <w:rsid w:val="00C528F7"/>
    <w:rsid w:val="00C53C3E"/>
    <w:rsid w:val="00C568E1"/>
    <w:rsid w:val="00C575A6"/>
    <w:rsid w:val="00C61DAB"/>
    <w:rsid w:val="00C7337A"/>
    <w:rsid w:val="00C86A07"/>
    <w:rsid w:val="00C9149B"/>
    <w:rsid w:val="00CA0B73"/>
    <w:rsid w:val="00CA40AA"/>
    <w:rsid w:val="00CA517C"/>
    <w:rsid w:val="00CC1859"/>
    <w:rsid w:val="00CE4045"/>
    <w:rsid w:val="00CE4173"/>
    <w:rsid w:val="00CF47E7"/>
    <w:rsid w:val="00D03E96"/>
    <w:rsid w:val="00D10ADA"/>
    <w:rsid w:val="00D1508F"/>
    <w:rsid w:val="00D31790"/>
    <w:rsid w:val="00D3387D"/>
    <w:rsid w:val="00D37A4D"/>
    <w:rsid w:val="00D4238D"/>
    <w:rsid w:val="00D72743"/>
    <w:rsid w:val="00D74014"/>
    <w:rsid w:val="00DA025D"/>
    <w:rsid w:val="00DA34CF"/>
    <w:rsid w:val="00DB27A1"/>
    <w:rsid w:val="00DB5AC0"/>
    <w:rsid w:val="00DD21CA"/>
    <w:rsid w:val="00DE5382"/>
    <w:rsid w:val="00E124BD"/>
    <w:rsid w:val="00E130B4"/>
    <w:rsid w:val="00E1778D"/>
    <w:rsid w:val="00E17ADF"/>
    <w:rsid w:val="00E17FBF"/>
    <w:rsid w:val="00E2187F"/>
    <w:rsid w:val="00E27EB4"/>
    <w:rsid w:val="00E31F7C"/>
    <w:rsid w:val="00E3291E"/>
    <w:rsid w:val="00E366B6"/>
    <w:rsid w:val="00E4084B"/>
    <w:rsid w:val="00E44A94"/>
    <w:rsid w:val="00E44B09"/>
    <w:rsid w:val="00E46649"/>
    <w:rsid w:val="00E4788B"/>
    <w:rsid w:val="00E53DE6"/>
    <w:rsid w:val="00E646E2"/>
    <w:rsid w:val="00E80D11"/>
    <w:rsid w:val="00E84F98"/>
    <w:rsid w:val="00E860CA"/>
    <w:rsid w:val="00E95EF6"/>
    <w:rsid w:val="00EA07CD"/>
    <w:rsid w:val="00EB4266"/>
    <w:rsid w:val="00F11871"/>
    <w:rsid w:val="00F14ECD"/>
    <w:rsid w:val="00F17156"/>
    <w:rsid w:val="00F4751B"/>
    <w:rsid w:val="00F47691"/>
    <w:rsid w:val="00F479B1"/>
    <w:rsid w:val="00F5304B"/>
    <w:rsid w:val="00F55869"/>
    <w:rsid w:val="00F61831"/>
    <w:rsid w:val="00F75000"/>
    <w:rsid w:val="00F93AE8"/>
    <w:rsid w:val="00FA6683"/>
    <w:rsid w:val="00FA7239"/>
    <w:rsid w:val="00FB2E1F"/>
    <w:rsid w:val="00FC31F8"/>
    <w:rsid w:val="00FC5B5C"/>
    <w:rsid w:val="00FC718E"/>
    <w:rsid w:val="00FC796B"/>
    <w:rsid w:val="00FD7484"/>
    <w:rsid w:val="00FE0CEA"/>
    <w:rsid w:val="09091000"/>
    <w:rsid w:val="0B8B1E21"/>
    <w:rsid w:val="10EB3134"/>
    <w:rsid w:val="1C484784"/>
    <w:rsid w:val="254F5291"/>
    <w:rsid w:val="3F1E22D7"/>
    <w:rsid w:val="4E954042"/>
    <w:rsid w:val="67705542"/>
    <w:rsid w:val="791D75D5"/>
    <w:rsid w:val="798B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qFormat="1"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qFormat="1"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Light Shading Accent 5"/>
    <w:basedOn w:val="6"/>
    <w:qFormat/>
    <w:uiPriority w:val="60"/>
    <w:rPr>
      <w:color w:val="31849B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9">
    <w:name w:val="Medium Grid 3 Accent 1"/>
    <w:basedOn w:val="6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10">
    <w:name w:val="Colorful List Accent 1"/>
    <w:basedOn w:val="6"/>
    <w:qFormat/>
    <w:uiPriority w:val="72"/>
    <w:rPr>
      <w:color w:val="000000" w:themeColor="text1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1">
    <w:name w:val="Colorful Grid Accent 1"/>
    <w:basedOn w:val="6"/>
    <w:qFormat/>
    <w:uiPriority w:val="73"/>
    <w:rPr>
      <w:color w:val="000000" w:themeColor="text1"/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">
    <w:name w:val="Colorful Grid Accent 5"/>
    <w:basedOn w:val="6"/>
    <w:qFormat/>
    <w:uiPriority w:val="73"/>
    <w:rPr>
      <w:color w:val="000000" w:themeColor="text1"/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Hyperlink"/>
    <w:basedOn w:val="13"/>
    <w:unhideWhenUsed/>
    <w:qFormat/>
    <w:uiPriority w:val="99"/>
    <w:rPr>
      <w:color w:val="0000FF" w:themeColor="hyperlink"/>
      <w:u w:val="single"/>
    </w:rPr>
  </w:style>
  <w:style w:type="character" w:customStyle="1" w:styleId="16">
    <w:name w:val="页眉 Char"/>
    <w:basedOn w:val="13"/>
    <w:link w:val="4"/>
    <w:semiHidden/>
    <w:qFormat/>
    <w:uiPriority w:val="99"/>
    <w:rPr>
      <w:sz w:val="18"/>
      <w:szCs w:val="18"/>
    </w:rPr>
  </w:style>
  <w:style w:type="character" w:customStyle="1" w:styleId="17">
    <w:name w:val="页脚 Char"/>
    <w:basedOn w:val="13"/>
    <w:link w:val="3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批注框文本 Char"/>
    <w:basedOn w:val="1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chart" Target="charts/chart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ang\Desktop\&#31185;&#23398;&#25991;&#24211;&#20840;&#24211;&#20070;&#21333;_20220222%20-%20&#21103;&#2641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dLbl>
              <c:idx val="0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0"/>
              <c:showCatName val="0"/>
              <c:showSerName val="1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0"/>
              <c:showCatName val="0"/>
              <c:showSerName val="1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'[科学文库全库书单_20220222 - 副本.xlsx]Sheet1'!$A$2:$A$8</c:f>
              <c:strCache>
                <c:ptCount val="7"/>
                <c:pt idx="0">
                  <c:v>专著</c:v>
                </c:pt>
                <c:pt idx="1">
                  <c:v>教材</c:v>
                </c:pt>
                <c:pt idx="2">
                  <c:v>参考工具书</c:v>
                </c:pt>
                <c:pt idx="3">
                  <c:v>科普</c:v>
                </c:pt>
                <c:pt idx="4">
                  <c:v>图集</c:v>
                </c:pt>
                <c:pt idx="5">
                  <c:v>大众</c:v>
                </c:pt>
                <c:pt idx="6">
                  <c:v>报告</c:v>
                </c:pt>
              </c:strCache>
            </c:strRef>
          </c:cat>
          <c:val>
            <c:numRef>
              <c:f>'[科学文库全库书单_20220222 - 副本.xlsx]Sheet1'!$B$2:$B$8</c:f>
              <c:numCache>
                <c:formatCode>General</c:formatCode>
                <c:ptCount val="7"/>
                <c:pt idx="0">
                  <c:v>32623</c:v>
                </c:pt>
                <c:pt idx="1">
                  <c:v>17998</c:v>
                </c:pt>
                <c:pt idx="2">
                  <c:v>2236</c:v>
                </c:pt>
                <c:pt idx="3">
                  <c:v>1429</c:v>
                </c:pt>
                <c:pt idx="4">
                  <c:v>961</c:v>
                </c:pt>
                <c:pt idx="5">
                  <c:v>843</c:v>
                </c:pt>
                <c:pt idx="6">
                  <c:v>625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  <c:txPr>
        <a:bodyPr rot="0" spcFirstLastPara="0" vertOverflow="ellipsis" vert="horz" wrap="square" anchor="ctr" anchorCtr="1"/>
        <a:lstStyle/>
        <a:p>
          <a:pPr>
            <a:defRPr lang="zh-CN" sz="10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b="1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SciencePress</Company>
  <Pages>10</Pages>
  <Words>1873</Words>
  <Characters>2033</Characters>
  <Lines>15</Lines>
  <Paragraphs>4</Paragraphs>
  <TotalTime>761</TotalTime>
  <ScaleCrop>false</ScaleCrop>
  <LinksUpToDate>false</LinksUpToDate>
  <CharactersWithSpaces>2044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2016-10-11T00:24:00Z</dcterms:created>
  <dc:creator>user</dc:creator>
  <cp:lastModifiedBy>A0000韩国涛</cp:lastModifiedBy>
  <dcterms:modified xsi:type="dcterms:W3CDTF">2023-07-03T02:17:53Z</dcterms:modified>
  <cp:revision>275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EF225A42577A4194B812CCE237DFC458</vt:lpwstr>
  </property>
</Properties>
</file>