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405"/>
        <w:jc w:val="center"/>
        <w:rPr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"/>
        </w:rPr>
        <w:t>InCites （科研绩效分析平台）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405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 基于Web of Science核心合集数据库</w:t>
      </w:r>
      <w:r>
        <w:rPr>
          <w:rFonts w:hint="default" w:ascii="Arial" w:hAnsi="Arial" w:eastAsia="宋体" w:cs="Arial"/>
          <w:kern w:val="0"/>
          <w:sz w:val="30"/>
          <w:szCs w:val="30"/>
          <w:lang w:val="en-US" w:eastAsia="zh-CN" w:bidi="ar"/>
        </w:rPr>
        <w:t xml:space="preserve">30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多年客观、权威的数据，通过多元化的指标和丰富的可视化效果提供全方位科研绩效分析。</w:t>
      </w:r>
      <w:r>
        <w:rPr>
          <w:rFonts w:hint="default" w:ascii="Arial" w:hAnsi="Arial" w:eastAsia="宋体" w:cs="Arial"/>
          <w:kern w:val="0"/>
          <w:sz w:val="30"/>
          <w:szCs w:val="30"/>
          <w:lang w:val="en-US" w:eastAsia="zh-CN" w:bidi="ar"/>
        </w:rPr>
        <w:t>InCites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与</w:t>
      </w:r>
      <w:r>
        <w:rPr>
          <w:rFonts w:hint="default" w:ascii="Arial" w:hAnsi="Arial" w:eastAsia="宋体" w:cs="Arial"/>
          <w:kern w:val="0"/>
          <w:sz w:val="30"/>
          <w:szCs w:val="30"/>
          <w:lang w:val="en-US" w:eastAsia="zh-CN" w:bidi="ar"/>
        </w:rPr>
        <w:t xml:space="preserve">Web </w:t>
      </w:r>
      <w:bookmarkStart w:id="0" w:name="_GoBack"/>
      <w:bookmarkEnd w:id="0"/>
      <w:r>
        <w:rPr>
          <w:rFonts w:hint="default" w:ascii="Arial" w:hAnsi="Arial" w:eastAsia="宋体" w:cs="Arial"/>
          <w:kern w:val="0"/>
          <w:sz w:val="30"/>
          <w:szCs w:val="30"/>
          <w:lang w:val="en-US" w:eastAsia="zh-CN" w:bidi="ar"/>
        </w:rPr>
        <w:t>of Science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核心合集的数据相互连接，采用更加清晰、准确的可视化方式来呈现数据，用户可以更加轻松地创建、存储并导出报告。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通过</w:t>
      </w:r>
      <w:r>
        <w:rPr>
          <w:rFonts w:hint="default" w:ascii="Calibri" w:hAnsi="Calibri" w:cs="Calibri" w:eastAsiaTheme="minorEastAsia"/>
          <w:color w:val="000000"/>
          <w:kern w:val="0"/>
          <w:sz w:val="30"/>
          <w:szCs w:val="30"/>
          <w:lang w:val="en-US" w:eastAsia="zh-CN" w:bidi="ar"/>
        </w:rPr>
        <w:t>InCites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，可实时跟踪高校的研究产出和影响力、分析优势学科分布、科研绩效现状以及发展趋势，分析进入</w:t>
      </w:r>
      <w:r>
        <w:rPr>
          <w:rFonts w:hint="default" w:ascii="Calibri" w:hAnsi="Calibri" w:cs="Calibri" w:eastAsiaTheme="minorEastAsia"/>
          <w:color w:val="000000"/>
          <w:kern w:val="0"/>
          <w:sz w:val="30"/>
          <w:szCs w:val="30"/>
          <w:lang w:val="en-US" w:eastAsia="zh-CN" w:bidi="ar"/>
        </w:rPr>
        <w:t>ESI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学科的可能性；可发掘高校内具有学术影响力和发展潜力的研究人员，并监测高校的科研合作活动，以寻求潜在的科研合作机会。各学科也可有针对性开展与国内/全球同行的机构和学科间的定标比超分析，生成多角度反映研究绩效的分析报告。能够为学校学科规划或科研决策提供客观分析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824B1"/>
    <w:rsid w:val="05896786"/>
    <w:rsid w:val="05A824B1"/>
    <w:rsid w:val="0C7913DF"/>
    <w:rsid w:val="3E46752C"/>
    <w:rsid w:val="478401B4"/>
    <w:rsid w:val="63A350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zho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2018-10-09T08:55:00Z</dcterms:created>
  <dc:creator>zhouzhou</dc:creator>
  <cp:lastModifiedBy>zhouzhou</cp:lastModifiedBy>
  <dcterms:modified xsi:type="dcterms:W3CDTF">2018-10-10T00:37:43Z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